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Tezy magisterskie – studia stacjonarne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hab. Artur Bartnik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197bwrxcpwf7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Grammatical variation in contemporary English (examples)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hsgpguxe1yk0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Grammatical change vs semantic change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oz5arb6aa9qa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Modals and semi-modals in contemporary English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glbgd9hsrotn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Characteristics of linguistic corpora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z86kqhlhvs7m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Grammaticalization – framework and examples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7gsu8xc5j95j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Explanations for language change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nlebwbc16vi4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Internal vs. external language change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ahexmsg5pdvm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Grammatical influence of English upon Polish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kmjcceo9m46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Lexical influence of English upon Polish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ajpz06ret0up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Determinants of linguistic change: colloquialization, americanization, densification, grammaticalization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uu4pb81t3ysf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Comparable corpora and comparative corpus linguistics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6xnyxdrvnrsl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Different factors in a corpus analysis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 teoretyczne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hab. Wojciech Guz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 English vs. its earlier stages </w:t>
        <w:tab/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Origins of the discrepancies between spelling and pronunciation in English</w:t>
        <w:tab/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teaching methodology: Discuss past and state-of-the-art approaches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Polish vs. English: inflection. Discuss and illustrate major differences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classification of English speech sounds according to their place of articulation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classification of English speech sounds according to their manner of articulation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 processes of word formation in English.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and illustrate </w:t>
        <w:tab/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Polish vs. English: grammatical tenses. Discuss and illustrate major differences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Polish vs. English: Discuss and illustrate major phonetic </w:t>
        <w:tab/>
        <w:t xml:space="preserve">differences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Language varieties: dialects, accents, national varieties, </w:t>
        <w:tab/>
        <w:t xml:space="preserve">registers, genres (add others if possible). Discuss and illustrate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Polish vs. English: Discuss and illustrate major syntactic differences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360" w:lineRule="auto"/>
        <w:ind w:left="708.6614173228347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Language types: agglutinating, isolating, inflecting. Discuss and illustrate.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Kulturoznawstwo angielskiego obszaru językowego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Mark Ó Fionnáin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definition of ‘popular’ culture.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Matthew Arnold’s understanding of culture.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Raymond Williams’ definition of ‘culture’.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Hegemony and authoritarianism in Cultural Studies.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Codes and myths in cultural representation.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Feminism and Cultural Studies.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as a social construct.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Subcultures and the notion of youth cultures.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Other and the politics of difference.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Cultural representation and stereotypes.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theory and practice of the male gaze.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Dominant ideologies in advertising.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Literatura amerykańska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Ewelina Bańka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dvgj5zpo5nw8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Mary Louise Pratt’s theory of "the contact zone".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Gloria Anzaldúa’s theory of the borderlands.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Gloria Anzaldúa’s theory of "the mestiza identity".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Stuart Hall’s concept of “cultural identity”.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Edward Said’s concept of “orientalism”.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examples of ethnic American literature that deal with hybrid cultural identity.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literary works that address the topic of trauma connected with racial discrimination.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examples of American literature as a tool of resistance to various colonial forces.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literary works that deal with the problem of systemic racism in contemporary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the importance of place in a process of identity formation based on two American literary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literary works by American female writers that deal with the issue of racial and gender discrimination.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Discuss two literary works that exemplify Mary L. Pratt’s theory of "the contact zone".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Literatura anglojęzyczna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Robert Looby, prof KUL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vl6bfaidbwut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literary modernism?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defamiliarisation in particular but not only as it applies or not to the primary text(s) on which your MA thesis is based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unreliable narrator in particular but not only as it applies or not to the primary text(s) on which your MA thesis is based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metaphor in particular but not only as it applies or not to the primary text(s) on which your MA thesis is based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intertextuality in particular but not only as it applies or not to the primary text(s) on which your MA thesis is based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suspense in particular but not only as it applies or not to the primary text(s) on which your MA thesis is based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use of dialect in particular but not only as it applies or not to the primary text(s) on which your MA thesis is based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myth in particular but not only as it applies or not to the primary text(s) on which your MA thesis is based 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free indirect discourse in particular but not only as it applies or not to the primary text(s) on which your MA thesis is based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foreshadowing in particular but not only as it applies or not to the primary text(s) on which your MA thesis is based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anthropomorphism and personification in particular but not only as they apply or not to the primary text(s) on which your MA thesis is based 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b3fwrnvp5cg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concept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deus ex machina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particular but not only as it applies or not to the primary text(s) on which your MA thesis is based 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y1wgdr7l0sqy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Literaturoznawstwo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Aleksander Bednarski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motif of journey in 18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19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-century English-language Literature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in Neo-Victorian Fiction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Inklings’ Views on Religion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Literary Sources of the King Arthur Legend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Typologies of intermedial relationships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-century </w:t>
        <w:tab/>
        <w:t xml:space="preserve">English-language Horror Fiction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-century </w:t>
        <w:tab/>
        <w:t xml:space="preserve">English-language Crime Fiction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main genres of poetry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psychoanalytic approaches to literature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Representations of the Family in Victorian Literature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History and features of procedural drama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Literary Forgery – history, motivation and representatives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